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E8" w:rsidRDefault="00BD7929" w:rsidP="00C35B65">
      <w:pPr>
        <w:ind w:firstLineChars="246" w:firstLine="889"/>
        <w:jc w:val="center"/>
        <w:rPr>
          <w:rFonts w:ascii="仿宋" w:eastAsia="仿宋" w:hAnsi="仿宋" w:cs="仿宋"/>
          <w:b/>
          <w:sz w:val="36"/>
          <w:szCs w:val="36"/>
        </w:rPr>
      </w:pPr>
      <w:r>
        <w:rPr>
          <w:rFonts w:ascii="仿宋" w:eastAsia="仿宋" w:hAnsi="仿宋" w:cs="仿宋" w:hint="eastAsia"/>
          <w:b/>
          <w:sz w:val="36"/>
          <w:szCs w:val="36"/>
        </w:rPr>
        <w:t>济南大学继续教育学院</w:t>
      </w:r>
    </w:p>
    <w:p w:rsidR="00210BE8" w:rsidRDefault="00BD7929" w:rsidP="00C35B65">
      <w:pPr>
        <w:ind w:firstLineChars="246" w:firstLine="889"/>
        <w:jc w:val="center"/>
        <w:rPr>
          <w:rFonts w:ascii="仿宋" w:eastAsia="仿宋" w:hAnsi="仿宋" w:cs="仿宋"/>
          <w:b/>
          <w:sz w:val="36"/>
          <w:szCs w:val="36"/>
        </w:rPr>
      </w:pPr>
      <w:r>
        <w:rPr>
          <w:rFonts w:ascii="仿宋" w:eastAsia="仿宋" w:hAnsi="仿宋" w:cs="仿宋" w:hint="eastAsia"/>
          <w:b/>
          <w:sz w:val="36"/>
          <w:szCs w:val="36"/>
        </w:rPr>
        <w:t>关于成人本科毕业生申请学士学位主干课程考试的通知</w:t>
      </w:r>
    </w:p>
    <w:p w:rsidR="00551019" w:rsidRDefault="00551019" w:rsidP="00B94627">
      <w:pPr>
        <w:rPr>
          <w:rFonts w:ascii="仿宋" w:eastAsia="仿宋" w:hAnsi="仿宋" w:cs="仿宋" w:hint="eastAsia"/>
          <w:sz w:val="32"/>
          <w:szCs w:val="32"/>
        </w:rPr>
      </w:pPr>
    </w:p>
    <w:p w:rsidR="00210BE8" w:rsidRDefault="00BD7929" w:rsidP="00B94627">
      <w:pPr>
        <w:rPr>
          <w:rFonts w:ascii="仿宋" w:eastAsia="仿宋" w:hAnsi="仿宋" w:cs="仿宋"/>
          <w:sz w:val="32"/>
          <w:szCs w:val="32"/>
        </w:rPr>
      </w:pPr>
      <w:r>
        <w:rPr>
          <w:rFonts w:ascii="仿宋" w:eastAsia="仿宋" w:hAnsi="仿宋" w:cs="仿宋" w:hint="eastAsia"/>
          <w:sz w:val="32"/>
          <w:szCs w:val="32"/>
        </w:rPr>
        <w:t>各函授站：</w:t>
      </w:r>
    </w:p>
    <w:p w:rsidR="00210BE8" w:rsidRDefault="00BD7929">
      <w:pPr>
        <w:widowControl/>
        <w:snapToGrid w:val="0"/>
        <w:spacing w:line="360" w:lineRule="auto"/>
        <w:jc w:val="left"/>
        <w:rPr>
          <w:rFonts w:ascii="仿宋" w:eastAsia="仿宋" w:hAnsi="仿宋" w:cs="仿宋"/>
          <w:kern w:val="0"/>
          <w:sz w:val="32"/>
          <w:szCs w:val="32"/>
        </w:rPr>
      </w:pPr>
      <w:r>
        <w:rPr>
          <w:rFonts w:ascii="仿宋" w:eastAsia="仿宋" w:hAnsi="仿宋" w:cs="仿宋" w:hint="eastAsia"/>
          <w:sz w:val="32"/>
          <w:szCs w:val="32"/>
        </w:rPr>
        <w:t xml:space="preserve">    </w:t>
      </w:r>
      <w:r>
        <w:rPr>
          <w:rFonts w:ascii="仿宋" w:eastAsia="仿宋" w:hAnsi="仿宋" w:cs="仿宋" w:hint="eastAsia"/>
          <w:color w:val="000000"/>
          <w:kern w:val="0"/>
          <w:sz w:val="32"/>
          <w:szCs w:val="32"/>
        </w:rPr>
        <w:t>根据教育厅学位办和济南大学学位委员会的要求,成人</w:t>
      </w:r>
      <w:r>
        <w:rPr>
          <w:rFonts w:ascii="仿宋" w:eastAsia="仿宋" w:hAnsi="仿宋" w:cs="仿宋" w:hint="eastAsia"/>
          <w:kern w:val="0"/>
          <w:sz w:val="32"/>
          <w:szCs w:val="32"/>
        </w:rPr>
        <w:t>应届</w:t>
      </w:r>
      <w:r>
        <w:rPr>
          <w:rFonts w:ascii="仿宋" w:eastAsia="仿宋" w:hAnsi="仿宋" w:cs="仿宋" w:hint="eastAsia"/>
          <w:color w:val="000000"/>
          <w:kern w:val="0"/>
          <w:sz w:val="32"/>
          <w:szCs w:val="32"/>
        </w:rPr>
        <w:t>本科毕业生申请学位时要统一考试主干课程。</w:t>
      </w:r>
      <w:r>
        <w:rPr>
          <w:rFonts w:ascii="仿宋" w:eastAsia="仿宋" w:hAnsi="仿宋" w:cs="仿宋" w:hint="eastAsia"/>
          <w:kern w:val="0"/>
          <w:sz w:val="32"/>
          <w:szCs w:val="32"/>
        </w:rPr>
        <w:t>“主干课程”包括一门专业基础课和两门专业课（考试课程见附件1），由学院参照本校教学计划和大纲的要求进行命题并组织考试和阅卷工作。</w:t>
      </w:r>
    </w:p>
    <w:p w:rsidR="00AB5CF8" w:rsidRPr="00072152" w:rsidRDefault="00072152" w:rsidP="002669BC">
      <w:pPr>
        <w:widowControl/>
        <w:snapToGrid w:val="0"/>
        <w:spacing w:line="360" w:lineRule="auto"/>
        <w:ind w:firstLine="640"/>
        <w:jc w:val="left"/>
        <w:rPr>
          <w:rFonts w:ascii="仿宋" w:eastAsia="仿宋" w:hAnsi="仿宋" w:cs="仿宋"/>
          <w:kern w:val="0"/>
          <w:sz w:val="32"/>
          <w:szCs w:val="32"/>
        </w:rPr>
      </w:pPr>
      <w:r w:rsidRPr="00072152">
        <w:rPr>
          <w:rFonts w:ascii="仿宋" w:eastAsia="仿宋" w:hAnsi="仿宋" w:cs="仿宋" w:hint="eastAsia"/>
          <w:kern w:val="0"/>
          <w:sz w:val="32"/>
          <w:szCs w:val="32"/>
        </w:rPr>
        <w:t>1.</w:t>
      </w:r>
      <w:r w:rsidR="00BD7929" w:rsidRPr="00072152">
        <w:rPr>
          <w:rFonts w:ascii="仿宋" w:eastAsia="仿宋" w:hAnsi="仿宋" w:cs="仿宋" w:hint="eastAsia"/>
          <w:kern w:val="0"/>
          <w:sz w:val="32"/>
          <w:szCs w:val="32"/>
        </w:rPr>
        <w:t>考试范围和对象：</w:t>
      </w:r>
      <w:r>
        <w:rPr>
          <w:rFonts w:ascii="仿宋" w:eastAsia="仿宋" w:hAnsi="仿宋" w:cs="仿宋" w:hint="eastAsia"/>
          <w:kern w:val="0"/>
          <w:sz w:val="32"/>
          <w:szCs w:val="32"/>
        </w:rPr>
        <w:t>（1）</w:t>
      </w:r>
      <w:r w:rsidRPr="00072152">
        <w:rPr>
          <w:rFonts w:ascii="仿宋" w:eastAsia="仿宋" w:hAnsi="仿宋" w:cs="仿宋" w:hint="eastAsia"/>
          <w:kern w:val="0"/>
          <w:sz w:val="32"/>
          <w:szCs w:val="32"/>
        </w:rPr>
        <w:t>201</w:t>
      </w:r>
      <w:r w:rsidR="002669BC">
        <w:rPr>
          <w:rFonts w:ascii="仿宋" w:eastAsia="仿宋" w:hAnsi="仿宋" w:cs="仿宋" w:hint="eastAsia"/>
          <w:kern w:val="0"/>
          <w:sz w:val="32"/>
          <w:szCs w:val="32"/>
        </w:rPr>
        <w:t>5</w:t>
      </w:r>
      <w:r w:rsidRPr="00072152">
        <w:rPr>
          <w:rFonts w:ascii="仿宋" w:eastAsia="仿宋" w:hAnsi="仿宋" w:cs="仿宋" w:hint="eastAsia"/>
          <w:kern w:val="0"/>
          <w:sz w:val="32"/>
          <w:szCs w:val="32"/>
        </w:rPr>
        <w:t>级</w:t>
      </w:r>
      <w:r w:rsidR="002669BC">
        <w:rPr>
          <w:rFonts w:ascii="仿宋" w:eastAsia="仿宋" w:hAnsi="仿宋" w:cs="仿宋" w:hint="eastAsia"/>
          <w:kern w:val="0"/>
          <w:sz w:val="32"/>
          <w:szCs w:val="32"/>
        </w:rPr>
        <w:t>(学制2.5年)</w:t>
      </w:r>
      <w:r w:rsidRPr="00072152">
        <w:rPr>
          <w:rFonts w:ascii="仿宋" w:eastAsia="仿宋" w:hAnsi="仿宋" w:cs="仿宋" w:hint="eastAsia"/>
          <w:kern w:val="0"/>
          <w:sz w:val="32"/>
          <w:szCs w:val="32"/>
        </w:rPr>
        <w:t>专升本毕业生且在本科学习期间</w:t>
      </w:r>
      <w:r w:rsidR="00D462A7">
        <w:rPr>
          <w:rFonts w:ascii="仿宋" w:eastAsia="仿宋" w:hAnsi="仿宋" w:cs="仿宋" w:hint="eastAsia"/>
          <w:kern w:val="0"/>
          <w:sz w:val="32"/>
          <w:szCs w:val="32"/>
        </w:rPr>
        <w:t>取得</w:t>
      </w:r>
      <w:r w:rsidR="00AB5CF8">
        <w:rPr>
          <w:rFonts w:ascii="仿宋" w:eastAsia="仿宋" w:hAnsi="仿宋" w:cs="仿宋" w:hint="eastAsia"/>
          <w:kern w:val="0"/>
          <w:sz w:val="32"/>
          <w:szCs w:val="32"/>
        </w:rPr>
        <w:t>山东省成人本科毕业生学位外语考试</w:t>
      </w:r>
      <w:r w:rsidR="00D462A7">
        <w:rPr>
          <w:rFonts w:ascii="仿宋" w:eastAsia="仿宋" w:hAnsi="仿宋" w:cs="仿宋" w:hint="eastAsia"/>
          <w:kern w:val="0"/>
          <w:sz w:val="32"/>
          <w:szCs w:val="32"/>
        </w:rPr>
        <w:t>合格或</w:t>
      </w:r>
      <w:r w:rsidR="00AB5CF8">
        <w:rPr>
          <w:rFonts w:ascii="仿宋" w:eastAsia="仿宋" w:hAnsi="仿宋" w:cs="仿宋" w:hint="eastAsia"/>
          <w:kern w:val="0"/>
          <w:sz w:val="32"/>
          <w:szCs w:val="32"/>
        </w:rPr>
        <w:t>全国</w:t>
      </w:r>
      <w:r w:rsidR="00D462A7">
        <w:rPr>
          <w:rFonts w:ascii="仿宋" w:eastAsia="仿宋" w:hAnsi="仿宋" w:cs="仿宋" w:hint="eastAsia"/>
          <w:kern w:val="0"/>
          <w:sz w:val="32"/>
          <w:szCs w:val="32"/>
        </w:rPr>
        <w:t>公共英</w:t>
      </w:r>
      <w:r w:rsidR="00AB5CF8">
        <w:rPr>
          <w:rFonts w:ascii="仿宋" w:eastAsia="仿宋" w:hAnsi="仿宋" w:cs="仿宋" w:hint="eastAsia"/>
          <w:kern w:val="0"/>
          <w:sz w:val="32"/>
          <w:szCs w:val="32"/>
        </w:rPr>
        <w:t>语等级考试（</w:t>
      </w:r>
      <w:r w:rsidR="00D462A7">
        <w:rPr>
          <w:rFonts w:ascii="仿宋" w:eastAsia="仿宋" w:hAnsi="仿宋" w:cs="仿宋" w:hint="eastAsia"/>
          <w:kern w:val="0"/>
          <w:sz w:val="32"/>
          <w:szCs w:val="32"/>
        </w:rPr>
        <w:t>三级</w:t>
      </w:r>
      <w:r w:rsidR="00AB5CF8">
        <w:rPr>
          <w:rFonts w:ascii="仿宋" w:eastAsia="仿宋" w:hAnsi="仿宋" w:cs="仿宋" w:hint="eastAsia"/>
          <w:kern w:val="0"/>
          <w:sz w:val="32"/>
          <w:szCs w:val="32"/>
        </w:rPr>
        <w:t>）</w:t>
      </w:r>
      <w:r w:rsidR="00D462A7">
        <w:rPr>
          <w:rFonts w:ascii="仿宋" w:eastAsia="仿宋" w:hAnsi="仿宋" w:cs="仿宋" w:hint="eastAsia"/>
          <w:kern w:val="0"/>
          <w:sz w:val="32"/>
          <w:szCs w:val="32"/>
        </w:rPr>
        <w:t>笔试60（含）以上的，均具有报名考试资格。</w:t>
      </w:r>
    </w:p>
    <w:p w:rsidR="00210BE8" w:rsidRDefault="00BD7929">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2.考试时间：201</w:t>
      </w:r>
      <w:r w:rsidR="00072152">
        <w:rPr>
          <w:rFonts w:ascii="仿宋" w:eastAsia="仿宋" w:hAnsi="仿宋" w:cs="仿宋" w:hint="eastAsia"/>
          <w:kern w:val="0"/>
          <w:sz w:val="32"/>
          <w:szCs w:val="32"/>
        </w:rPr>
        <w:t>7</w:t>
      </w:r>
      <w:r>
        <w:rPr>
          <w:rFonts w:ascii="仿宋" w:eastAsia="仿宋" w:hAnsi="仿宋" w:cs="仿宋" w:hint="eastAsia"/>
          <w:kern w:val="0"/>
          <w:sz w:val="32"/>
          <w:szCs w:val="32"/>
        </w:rPr>
        <w:t>年</w:t>
      </w:r>
      <w:r w:rsidR="002669BC">
        <w:rPr>
          <w:rFonts w:ascii="仿宋" w:eastAsia="仿宋" w:hAnsi="仿宋" w:cs="仿宋" w:hint="eastAsia"/>
          <w:kern w:val="0"/>
          <w:sz w:val="32"/>
          <w:szCs w:val="32"/>
        </w:rPr>
        <w:t>12</w:t>
      </w:r>
      <w:r>
        <w:rPr>
          <w:rFonts w:ascii="仿宋" w:eastAsia="仿宋" w:hAnsi="仿宋" w:cs="仿宋" w:hint="eastAsia"/>
          <w:kern w:val="0"/>
          <w:sz w:val="32"/>
          <w:szCs w:val="32"/>
        </w:rPr>
        <w:t>月</w:t>
      </w:r>
      <w:r w:rsidR="002669BC">
        <w:rPr>
          <w:rFonts w:ascii="仿宋" w:eastAsia="仿宋" w:hAnsi="仿宋" w:cs="仿宋" w:hint="eastAsia"/>
          <w:kern w:val="0"/>
          <w:sz w:val="32"/>
          <w:szCs w:val="32"/>
        </w:rPr>
        <w:t>2</w:t>
      </w:r>
      <w:r>
        <w:rPr>
          <w:rFonts w:ascii="仿宋" w:eastAsia="仿宋" w:hAnsi="仿宋" w:cs="仿宋" w:hint="eastAsia"/>
          <w:kern w:val="0"/>
          <w:sz w:val="32"/>
          <w:szCs w:val="32"/>
        </w:rPr>
        <w:t xml:space="preserve">号 （考试科目顺序按下发的考试课程顺序）   </w:t>
      </w:r>
    </w:p>
    <w:p w:rsidR="00210BE8" w:rsidRDefault="00BD7929">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科目一：8:30-10:00  科目二：10</w:t>
      </w:r>
      <w:r w:rsidR="00B94627">
        <w:rPr>
          <w:rFonts w:ascii="仿宋" w:eastAsia="仿宋" w:hAnsi="仿宋" w:cs="仿宋" w:hint="eastAsia"/>
          <w:kern w:val="0"/>
          <w:sz w:val="32"/>
          <w:szCs w:val="32"/>
        </w:rPr>
        <w:t>:</w:t>
      </w:r>
      <w:r>
        <w:rPr>
          <w:rFonts w:ascii="仿宋" w:eastAsia="仿宋" w:hAnsi="仿宋" w:cs="仿宋" w:hint="eastAsia"/>
          <w:kern w:val="0"/>
          <w:sz w:val="32"/>
          <w:szCs w:val="32"/>
        </w:rPr>
        <w:t>30-12：00   科目三：1:30-3:00</w:t>
      </w:r>
    </w:p>
    <w:p w:rsidR="00210BE8" w:rsidRDefault="00BD7929">
      <w:pPr>
        <w:widowControl/>
        <w:numPr>
          <w:ilvl w:val="0"/>
          <w:numId w:val="1"/>
        </w:numPr>
        <w:snapToGrid w:val="0"/>
        <w:spacing w:line="360" w:lineRule="auto"/>
        <w:ind w:firstLine="570"/>
        <w:jc w:val="left"/>
        <w:rPr>
          <w:rFonts w:ascii="仿宋" w:eastAsia="仿宋" w:hAnsi="仿宋" w:cs="仿宋"/>
          <w:kern w:val="0"/>
          <w:sz w:val="32"/>
          <w:szCs w:val="32"/>
        </w:rPr>
      </w:pPr>
      <w:r>
        <w:rPr>
          <w:rFonts w:ascii="仿宋" w:eastAsia="仿宋" w:hAnsi="仿宋" w:cs="仿宋" w:hint="eastAsia"/>
          <w:kern w:val="0"/>
          <w:sz w:val="32"/>
          <w:szCs w:val="32"/>
        </w:rPr>
        <w:t>考试地点：学院根据函授站参加考试的学员人数设置考点，就近参加考试，考试地点另行通知。</w:t>
      </w:r>
    </w:p>
    <w:p w:rsidR="00210BE8" w:rsidRDefault="00BD7929">
      <w:pPr>
        <w:widowControl/>
        <w:numPr>
          <w:ilvl w:val="0"/>
          <w:numId w:val="1"/>
        </w:numPr>
        <w:snapToGrid w:val="0"/>
        <w:spacing w:line="360" w:lineRule="auto"/>
        <w:ind w:firstLine="570"/>
        <w:jc w:val="left"/>
        <w:rPr>
          <w:rFonts w:ascii="仿宋" w:eastAsia="仿宋" w:hAnsi="仿宋" w:cs="仿宋"/>
          <w:kern w:val="0"/>
          <w:sz w:val="32"/>
          <w:szCs w:val="32"/>
        </w:rPr>
      </w:pPr>
      <w:r>
        <w:rPr>
          <w:rFonts w:ascii="仿宋" w:eastAsia="仿宋" w:hAnsi="仿宋" w:cs="仿宋" w:hint="eastAsia"/>
          <w:kern w:val="0"/>
          <w:sz w:val="32"/>
          <w:szCs w:val="32"/>
        </w:rPr>
        <w:t>拟申请学士学位的学员请于</w:t>
      </w:r>
      <w:r w:rsidR="002669BC">
        <w:rPr>
          <w:rFonts w:ascii="仿宋" w:eastAsia="仿宋" w:hAnsi="仿宋" w:cs="仿宋" w:hint="eastAsia"/>
          <w:kern w:val="0"/>
          <w:sz w:val="32"/>
          <w:szCs w:val="32"/>
        </w:rPr>
        <w:t>11</w:t>
      </w:r>
      <w:r>
        <w:rPr>
          <w:rFonts w:ascii="仿宋" w:eastAsia="仿宋" w:hAnsi="仿宋" w:cs="仿宋" w:hint="eastAsia"/>
          <w:kern w:val="0"/>
          <w:sz w:val="32"/>
          <w:szCs w:val="32"/>
        </w:rPr>
        <w:t>月</w:t>
      </w:r>
      <w:r w:rsidR="002669BC">
        <w:rPr>
          <w:rFonts w:ascii="仿宋" w:eastAsia="仿宋" w:hAnsi="仿宋" w:cs="仿宋" w:hint="eastAsia"/>
          <w:kern w:val="0"/>
          <w:sz w:val="32"/>
          <w:szCs w:val="32"/>
        </w:rPr>
        <w:t>6</w:t>
      </w:r>
      <w:r>
        <w:rPr>
          <w:rFonts w:ascii="仿宋" w:eastAsia="仿宋" w:hAnsi="仿宋" w:cs="仿宋" w:hint="eastAsia"/>
          <w:kern w:val="0"/>
          <w:sz w:val="32"/>
          <w:szCs w:val="32"/>
        </w:rPr>
        <w:t>日前，到所属函授站（点）报名。</w:t>
      </w:r>
    </w:p>
    <w:p w:rsidR="006048BA" w:rsidRDefault="00BD7929">
      <w:pPr>
        <w:widowControl/>
        <w:numPr>
          <w:ilvl w:val="0"/>
          <w:numId w:val="1"/>
        </w:numPr>
        <w:ind w:leftChars="304" w:left="1918" w:hanging="1280"/>
        <w:jc w:val="left"/>
        <w:rPr>
          <w:rFonts w:ascii="仿宋" w:eastAsia="仿宋" w:hAnsi="仿宋" w:cs="仿宋"/>
          <w:kern w:val="0"/>
          <w:sz w:val="32"/>
          <w:szCs w:val="32"/>
        </w:rPr>
      </w:pPr>
      <w:r>
        <w:rPr>
          <w:rFonts w:ascii="仿宋" w:eastAsia="仿宋" w:hAnsi="仿宋" w:cs="仿宋" w:hint="eastAsia"/>
          <w:kern w:val="0"/>
          <w:sz w:val="32"/>
          <w:szCs w:val="32"/>
        </w:rPr>
        <w:t>各函授站请于</w:t>
      </w:r>
      <w:r w:rsidR="002669BC">
        <w:rPr>
          <w:rFonts w:ascii="仿宋" w:eastAsia="仿宋" w:hAnsi="仿宋" w:cs="仿宋" w:hint="eastAsia"/>
          <w:kern w:val="0"/>
          <w:sz w:val="32"/>
          <w:szCs w:val="32"/>
        </w:rPr>
        <w:t>11</w:t>
      </w:r>
      <w:r>
        <w:rPr>
          <w:rFonts w:ascii="仿宋" w:eastAsia="仿宋" w:hAnsi="仿宋" w:cs="仿宋" w:hint="eastAsia"/>
          <w:kern w:val="0"/>
          <w:sz w:val="32"/>
          <w:szCs w:val="32"/>
        </w:rPr>
        <w:t>月</w:t>
      </w:r>
      <w:r w:rsidR="002669BC">
        <w:rPr>
          <w:rFonts w:ascii="仿宋" w:eastAsia="仿宋" w:hAnsi="仿宋" w:cs="仿宋" w:hint="eastAsia"/>
          <w:kern w:val="0"/>
          <w:sz w:val="32"/>
          <w:szCs w:val="32"/>
        </w:rPr>
        <w:t>9</w:t>
      </w:r>
      <w:r>
        <w:rPr>
          <w:rFonts w:ascii="仿宋" w:eastAsia="仿宋" w:hAnsi="仿宋" w:cs="仿宋" w:hint="eastAsia"/>
          <w:kern w:val="0"/>
          <w:sz w:val="32"/>
          <w:szCs w:val="32"/>
        </w:rPr>
        <w:t>日前将济南大学成人高等教育学士学位主</w:t>
      </w:r>
    </w:p>
    <w:p w:rsidR="007D2401" w:rsidRDefault="00BD7929">
      <w:pPr>
        <w:widowControl/>
        <w:jc w:val="left"/>
        <w:rPr>
          <w:rFonts w:ascii="仿宋" w:eastAsia="仿宋" w:hAnsi="仿宋" w:cs="仿宋"/>
          <w:kern w:val="0"/>
          <w:sz w:val="32"/>
          <w:szCs w:val="32"/>
        </w:rPr>
      </w:pPr>
      <w:r w:rsidRPr="006048BA">
        <w:rPr>
          <w:rFonts w:ascii="仿宋" w:eastAsia="仿宋" w:hAnsi="仿宋" w:cs="仿宋" w:hint="eastAsia"/>
          <w:kern w:val="0"/>
          <w:sz w:val="32"/>
          <w:szCs w:val="32"/>
        </w:rPr>
        <w:lastRenderedPageBreak/>
        <w:t>干课程考试报</w:t>
      </w:r>
      <w:r>
        <w:rPr>
          <w:rFonts w:ascii="仿宋" w:eastAsia="仿宋" w:hAnsi="仿宋" w:cs="仿宋" w:hint="eastAsia"/>
          <w:kern w:val="0"/>
          <w:sz w:val="32"/>
          <w:szCs w:val="32"/>
        </w:rPr>
        <w:t>名汇总表（附件2）</w:t>
      </w:r>
      <w:r w:rsidR="007D2401">
        <w:rPr>
          <w:rFonts w:ascii="仿宋" w:eastAsia="仿宋" w:hAnsi="仿宋" w:cs="仿宋" w:hint="eastAsia"/>
          <w:kern w:val="0"/>
          <w:sz w:val="32"/>
          <w:szCs w:val="32"/>
        </w:rPr>
        <w:t>以及通过全国外语等级考试三级考试的学生合格证或成绩单（60分及以上）电子扫描件发到邮箱</w:t>
      </w:r>
      <w:hyperlink r:id="rId7" w:history="1">
        <w:r w:rsidR="007D2401" w:rsidRPr="00D114A7">
          <w:rPr>
            <w:rStyle w:val="a3"/>
            <w:rFonts w:ascii="仿宋" w:eastAsia="仿宋" w:hAnsi="仿宋" w:cs="仿宋" w:hint="eastAsia"/>
            <w:kern w:val="0"/>
            <w:sz w:val="32"/>
            <w:szCs w:val="32"/>
          </w:rPr>
          <w:t>sae_may@ujn.edu.cn</w:t>
        </w:r>
      </w:hyperlink>
      <w:r>
        <w:rPr>
          <w:rFonts w:ascii="仿宋" w:eastAsia="仿宋" w:hAnsi="仿宋" w:cs="仿宋" w:hint="eastAsia"/>
          <w:kern w:val="0"/>
          <w:sz w:val="32"/>
          <w:szCs w:val="32"/>
        </w:rPr>
        <w:t xml:space="preserve"> ，为保障数据安全，不接收QQ在线或离线传送</w:t>
      </w:r>
      <w:r w:rsidR="007D2401">
        <w:rPr>
          <w:rFonts w:ascii="仿宋" w:eastAsia="仿宋" w:hAnsi="仿宋" w:cs="仿宋" w:hint="eastAsia"/>
          <w:kern w:val="0"/>
          <w:sz w:val="32"/>
          <w:szCs w:val="32"/>
        </w:rPr>
        <w:t>。</w:t>
      </w:r>
    </w:p>
    <w:p w:rsidR="006048BA" w:rsidRDefault="006048BA" w:rsidP="006048BA">
      <w:pPr>
        <w:ind w:firstLineChars="150" w:firstLine="480"/>
        <w:rPr>
          <w:rFonts w:ascii="仿宋" w:eastAsia="仿宋" w:hAnsi="仿宋"/>
          <w:sz w:val="32"/>
          <w:szCs w:val="32"/>
        </w:rPr>
      </w:pPr>
      <w:r>
        <w:rPr>
          <w:rFonts w:ascii="仿宋" w:eastAsia="仿宋" w:hAnsi="仿宋" w:cs="仿宋" w:hint="eastAsia"/>
          <w:kern w:val="0"/>
          <w:sz w:val="32"/>
          <w:szCs w:val="32"/>
        </w:rPr>
        <w:t xml:space="preserve"> 6.</w:t>
      </w:r>
      <w:r w:rsidRPr="006048BA">
        <w:rPr>
          <w:rFonts w:ascii="仿宋" w:eastAsia="仿宋" w:hAnsi="仿宋" w:hint="eastAsia"/>
          <w:sz w:val="32"/>
          <w:szCs w:val="32"/>
        </w:rPr>
        <w:t xml:space="preserve"> </w:t>
      </w:r>
      <w:r>
        <w:rPr>
          <w:rFonts w:ascii="仿宋" w:eastAsia="仿宋" w:hAnsi="仿宋" w:hint="eastAsia"/>
          <w:sz w:val="32"/>
          <w:szCs w:val="32"/>
        </w:rPr>
        <w:t>邮件命名规则：函授站所在市代码（见附件2）+函授站名称+2017xuewei.docx。</w:t>
      </w:r>
    </w:p>
    <w:p w:rsidR="00210BE8" w:rsidRDefault="00210BE8" w:rsidP="006048BA">
      <w:pPr>
        <w:widowControl/>
        <w:snapToGrid w:val="0"/>
        <w:spacing w:before="100" w:beforeAutospacing="1" w:after="100" w:afterAutospacing="1" w:line="360" w:lineRule="auto"/>
        <w:jc w:val="left"/>
        <w:rPr>
          <w:rFonts w:ascii="仿宋" w:eastAsia="仿宋" w:hAnsi="仿宋" w:cs="仿宋"/>
          <w:kern w:val="0"/>
          <w:sz w:val="28"/>
          <w:szCs w:val="28"/>
        </w:rPr>
      </w:pPr>
    </w:p>
    <w:p w:rsidR="00210BE8" w:rsidRDefault="00BD7929">
      <w:pPr>
        <w:widowControl/>
        <w:snapToGrid w:val="0"/>
        <w:spacing w:before="100" w:beforeAutospacing="1" w:after="100" w:afterAutospacing="1" w:line="360" w:lineRule="auto"/>
        <w:ind w:leftChars="1534" w:left="6021" w:hangingChars="1000" w:hanging="2800"/>
        <w:jc w:val="left"/>
        <w:rPr>
          <w:rFonts w:ascii="仿宋" w:eastAsia="仿宋" w:hAnsi="仿宋" w:cs="仿宋"/>
          <w:kern w:val="0"/>
          <w:sz w:val="28"/>
          <w:szCs w:val="28"/>
        </w:rPr>
      </w:pPr>
      <w:r>
        <w:rPr>
          <w:rFonts w:ascii="仿宋" w:eastAsia="仿宋" w:hAnsi="仿宋" w:cs="仿宋" w:hint="eastAsia"/>
          <w:kern w:val="0"/>
          <w:sz w:val="28"/>
          <w:szCs w:val="28"/>
        </w:rPr>
        <w:t xml:space="preserve">        济南大学继续教育学院</w:t>
      </w:r>
    </w:p>
    <w:p w:rsidR="00210BE8" w:rsidRDefault="00BD7929">
      <w:pPr>
        <w:rPr>
          <w:rFonts w:ascii="仿宋" w:eastAsia="仿宋" w:hAnsi="仿宋" w:cs="仿宋"/>
          <w:sz w:val="28"/>
          <w:szCs w:val="28"/>
        </w:rPr>
      </w:pPr>
      <w:r>
        <w:rPr>
          <w:rFonts w:ascii="仿宋" w:eastAsia="仿宋" w:hAnsi="仿宋" w:cs="仿宋" w:hint="eastAsia"/>
          <w:sz w:val="28"/>
          <w:szCs w:val="28"/>
        </w:rPr>
        <w:t xml:space="preserve">                                  20</w:t>
      </w:r>
      <w:r w:rsidR="00072152">
        <w:rPr>
          <w:rFonts w:ascii="仿宋" w:eastAsia="仿宋" w:hAnsi="仿宋" w:cs="仿宋" w:hint="eastAsia"/>
          <w:sz w:val="28"/>
          <w:szCs w:val="28"/>
        </w:rPr>
        <w:t>17</w:t>
      </w:r>
      <w:r>
        <w:rPr>
          <w:rFonts w:ascii="仿宋" w:eastAsia="仿宋" w:hAnsi="仿宋" w:cs="仿宋" w:hint="eastAsia"/>
          <w:sz w:val="28"/>
          <w:szCs w:val="28"/>
        </w:rPr>
        <w:t>年</w:t>
      </w:r>
      <w:r w:rsidR="002669BC">
        <w:rPr>
          <w:rFonts w:ascii="仿宋" w:eastAsia="仿宋" w:hAnsi="仿宋" w:cs="仿宋" w:hint="eastAsia"/>
          <w:sz w:val="28"/>
          <w:szCs w:val="28"/>
        </w:rPr>
        <w:t>10</w:t>
      </w:r>
      <w:r>
        <w:rPr>
          <w:rFonts w:ascii="仿宋" w:eastAsia="仿宋" w:hAnsi="仿宋" w:cs="仿宋" w:hint="eastAsia"/>
          <w:sz w:val="28"/>
          <w:szCs w:val="28"/>
        </w:rPr>
        <w:t>月</w:t>
      </w:r>
      <w:r w:rsidR="002669BC">
        <w:rPr>
          <w:rFonts w:ascii="仿宋" w:eastAsia="仿宋" w:hAnsi="仿宋" w:cs="仿宋" w:hint="eastAsia"/>
          <w:sz w:val="28"/>
          <w:szCs w:val="28"/>
        </w:rPr>
        <w:t>31</w:t>
      </w:r>
      <w:r>
        <w:rPr>
          <w:rFonts w:ascii="仿宋" w:eastAsia="仿宋" w:hAnsi="仿宋" w:cs="仿宋" w:hint="eastAsia"/>
          <w:sz w:val="28"/>
          <w:szCs w:val="28"/>
        </w:rPr>
        <w:t>日</w:t>
      </w:r>
    </w:p>
    <w:p w:rsidR="00550713" w:rsidRDefault="00550713">
      <w:pPr>
        <w:rPr>
          <w:rFonts w:ascii="仿宋" w:eastAsia="仿宋" w:hAnsi="仿宋" w:cs="仿宋"/>
          <w:b/>
          <w:sz w:val="32"/>
          <w:szCs w:val="32"/>
        </w:rPr>
      </w:pPr>
    </w:p>
    <w:p w:rsidR="00210BE8" w:rsidRDefault="00BD7929">
      <w:pPr>
        <w:ind w:firstLineChars="196" w:firstLine="627"/>
        <w:rPr>
          <w:rFonts w:ascii="仿宋" w:eastAsia="仿宋" w:hAnsi="仿宋" w:cs="仿宋"/>
          <w:kern w:val="0"/>
          <w:sz w:val="32"/>
          <w:szCs w:val="32"/>
        </w:rPr>
      </w:pPr>
      <w:r>
        <w:rPr>
          <w:rFonts w:ascii="仿宋" w:eastAsia="仿宋" w:hAnsi="仿宋" w:cs="仿宋" w:hint="eastAsia"/>
          <w:kern w:val="0"/>
          <w:sz w:val="32"/>
          <w:szCs w:val="32"/>
        </w:rPr>
        <w:t>附件：1.</w:t>
      </w:r>
      <w:r>
        <w:rPr>
          <w:rFonts w:ascii="仿宋" w:eastAsia="仿宋" w:hAnsi="仿宋" w:cs="仿宋" w:hint="eastAsia"/>
          <w:bCs/>
          <w:sz w:val="32"/>
          <w:szCs w:val="32"/>
        </w:rPr>
        <w:t>各专业主干课程名称</w:t>
      </w:r>
    </w:p>
    <w:p w:rsidR="00210BE8" w:rsidRDefault="00BD7929">
      <w:pPr>
        <w:widowControl/>
        <w:ind w:leftChars="304" w:left="1918" w:hangingChars="400" w:hanging="1280"/>
        <w:jc w:val="left"/>
        <w:rPr>
          <w:rFonts w:ascii="仿宋" w:eastAsia="仿宋" w:hAnsi="仿宋" w:cs="仿宋"/>
          <w:kern w:val="0"/>
          <w:sz w:val="32"/>
          <w:szCs w:val="32"/>
        </w:rPr>
      </w:pPr>
      <w:r>
        <w:rPr>
          <w:rFonts w:ascii="仿宋" w:eastAsia="仿宋" w:hAnsi="仿宋" w:cs="仿宋" w:hint="eastAsia"/>
          <w:kern w:val="0"/>
          <w:sz w:val="32"/>
          <w:szCs w:val="32"/>
        </w:rPr>
        <w:t xml:space="preserve">      2.济南大学成人高等教育学士学位主干课程考试报名汇总表</w:t>
      </w:r>
    </w:p>
    <w:p w:rsidR="006048BA" w:rsidRPr="00BF6479" w:rsidRDefault="006048BA" w:rsidP="006048BA">
      <w:pPr>
        <w:ind w:firstLineChars="225" w:firstLine="720"/>
        <w:rPr>
          <w:rFonts w:ascii="仿宋" w:eastAsia="仿宋" w:hAnsi="仿宋"/>
          <w:sz w:val="32"/>
          <w:szCs w:val="32"/>
        </w:rPr>
      </w:pPr>
      <w:r>
        <w:rPr>
          <w:rFonts w:ascii="仿宋" w:eastAsia="仿宋" w:hAnsi="仿宋" w:cs="仿宋" w:hint="eastAsia"/>
          <w:kern w:val="0"/>
          <w:sz w:val="32"/>
          <w:szCs w:val="32"/>
        </w:rPr>
        <w:t xml:space="preserve">      3.</w:t>
      </w:r>
      <w:r w:rsidRPr="006048BA">
        <w:rPr>
          <w:rFonts w:ascii="仿宋" w:eastAsia="仿宋" w:hAnsi="仿宋" w:hint="eastAsia"/>
          <w:sz w:val="32"/>
          <w:szCs w:val="32"/>
        </w:rPr>
        <w:t xml:space="preserve"> </w:t>
      </w:r>
      <w:r>
        <w:rPr>
          <w:rFonts w:ascii="仿宋" w:eastAsia="仿宋" w:hAnsi="仿宋" w:hint="eastAsia"/>
          <w:sz w:val="32"/>
          <w:szCs w:val="32"/>
        </w:rPr>
        <w:t>函授站所在市代码</w:t>
      </w:r>
    </w:p>
    <w:p w:rsidR="006048BA" w:rsidRDefault="006048BA">
      <w:pPr>
        <w:widowControl/>
        <w:ind w:leftChars="304" w:left="1918" w:hangingChars="400" w:hanging="1280"/>
        <w:jc w:val="left"/>
        <w:rPr>
          <w:rFonts w:ascii="仿宋" w:eastAsia="仿宋" w:hAnsi="仿宋" w:cs="仿宋"/>
          <w:kern w:val="0"/>
          <w:sz w:val="32"/>
          <w:szCs w:val="32"/>
        </w:rPr>
      </w:pPr>
    </w:p>
    <w:p w:rsidR="006048BA" w:rsidRDefault="006048BA">
      <w:pPr>
        <w:widowControl/>
        <w:ind w:leftChars="304" w:left="1918" w:hangingChars="400" w:hanging="1280"/>
        <w:jc w:val="left"/>
        <w:rPr>
          <w:rFonts w:ascii="仿宋" w:eastAsia="仿宋" w:hAnsi="仿宋" w:cs="仿宋"/>
          <w:kern w:val="0"/>
          <w:sz w:val="32"/>
          <w:szCs w:val="32"/>
        </w:rPr>
      </w:pPr>
    </w:p>
    <w:p w:rsidR="00210BE8" w:rsidRDefault="00210BE8">
      <w:pPr>
        <w:rPr>
          <w:rFonts w:ascii="仿宋" w:eastAsia="仿宋" w:hAnsi="仿宋" w:cs="仿宋"/>
          <w:b/>
          <w:sz w:val="32"/>
          <w:szCs w:val="32"/>
        </w:rPr>
      </w:pPr>
    </w:p>
    <w:p w:rsidR="007D2401" w:rsidRDefault="007D2401">
      <w:pPr>
        <w:rPr>
          <w:rFonts w:ascii="仿宋" w:eastAsia="仿宋" w:hAnsi="仿宋" w:cs="仿宋"/>
          <w:b/>
          <w:sz w:val="32"/>
          <w:szCs w:val="32"/>
        </w:rPr>
      </w:pPr>
    </w:p>
    <w:p w:rsidR="007D2401" w:rsidRDefault="007D2401">
      <w:pPr>
        <w:rPr>
          <w:rFonts w:ascii="仿宋" w:eastAsia="仿宋" w:hAnsi="仿宋" w:cs="仿宋"/>
          <w:b/>
          <w:sz w:val="32"/>
          <w:szCs w:val="32"/>
        </w:rPr>
      </w:pPr>
    </w:p>
    <w:p w:rsidR="007D2401" w:rsidRDefault="007D2401">
      <w:pPr>
        <w:rPr>
          <w:rFonts w:ascii="仿宋" w:eastAsia="仿宋" w:hAnsi="仿宋" w:cs="仿宋"/>
          <w:b/>
          <w:sz w:val="32"/>
          <w:szCs w:val="32"/>
        </w:rPr>
      </w:pPr>
    </w:p>
    <w:p w:rsidR="007D2401" w:rsidRDefault="007D2401">
      <w:pPr>
        <w:rPr>
          <w:rFonts w:ascii="仿宋" w:eastAsia="仿宋" w:hAnsi="仿宋" w:cs="仿宋"/>
          <w:b/>
          <w:sz w:val="32"/>
          <w:szCs w:val="32"/>
        </w:rPr>
      </w:pPr>
    </w:p>
    <w:p w:rsidR="00550713" w:rsidRDefault="00550713">
      <w:pPr>
        <w:rPr>
          <w:rFonts w:ascii="仿宋" w:eastAsia="仿宋" w:hAnsi="仿宋" w:cs="仿宋"/>
          <w:b/>
          <w:sz w:val="32"/>
          <w:szCs w:val="32"/>
        </w:rPr>
      </w:pPr>
    </w:p>
    <w:p w:rsidR="00550713" w:rsidRDefault="00550713">
      <w:pPr>
        <w:rPr>
          <w:rFonts w:ascii="仿宋" w:eastAsia="仿宋" w:hAnsi="仿宋" w:cs="仿宋"/>
          <w:b/>
          <w:sz w:val="32"/>
          <w:szCs w:val="32"/>
        </w:rPr>
      </w:pPr>
    </w:p>
    <w:p w:rsidR="007D2401" w:rsidRDefault="007D2401">
      <w:pPr>
        <w:rPr>
          <w:rFonts w:ascii="仿宋" w:eastAsia="仿宋" w:hAnsi="仿宋" w:cs="仿宋"/>
          <w:b/>
          <w:sz w:val="32"/>
          <w:szCs w:val="32"/>
        </w:rPr>
      </w:pPr>
    </w:p>
    <w:p w:rsidR="007D2401" w:rsidRDefault="007D2401">
      <w:pPr>
        <w:rPr>
          <w:rFonts w:ascii="仿宋" w:eastAsia="仿宋" w:hAnsi="仿宋" w:cs="仿宋"/>
          <w:b/>
          <w:sz w:val="32"/>
          <w:szCs w:val="32"/>
        </w:rPr>
      </w:pPr>
    </w:p>
    <w:p w:rsidR="00210BE8" w:rsidRDefault="00BD7929">
      <w:pPr>
        <w:rPr>
          <w:rFonts w:ascii="仿宋" w:eastAsia="仿宋" w:hAnsi="仿宋" w:cs="仿宋"/>
          <w:b/>
          <w:sz w:val="32"/>
          <w:szCs w:val="32"/>
        </w:rPr>
      </w:pPr>
      <w:r>
        <w:rPr>
          <w:rFonts w:ascii="仿宋" w:eastAsia="仿宋" w:hAnsi="仿宋" w:cs="仿宋" w:hint="eastAsia"/>
          <w:b/>
          <w:sz w:val="32"/>
          <w:szCs w:val="32"/>
        </w:rPr>
        <w:t>附件1：</w:t>
      </w:r>
    </w:p>
    <w:p w:rsidR="00210BE8" w:rsidRDefault="00BD7929" w:rsidP="00C35B65">
      <w:pPr>
        <w:ind w:firstLineChars="98" w:firstLine="315"/>
        <w:jc w:val="center"/>
        <w:rPr>
          <w:rFonts w:ascii="仿宋" w:eastAsia="仿宋" w:hAnsi="仿宋" w:cs="仿宋"/>
          <w:b/>
          <w:sz w:val="32"/>
          <w:szCs w:val="32"/>
        </w:rPr>
      </w:pPr>
      <w:r>
        <w:rPr>
          <w:rFonts w:ascii="仿宋" w:eastAsia="仿宋" w:hAnsi="仿宋" w:cs="仿宋" w:hint="eastAsia"/>
          <w:b/>
          <w:sz w:val="32"/>
          <w:szCs w:val="32"/>
        </w:rPr>
        <w:t>各专业主干课程名称</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会计学：微观与宏观经济学、高级会计学、高级财务管理</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工商管理：微观与宏观经济学、企业战略管理、组织行为学</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金融学：微观与宏观经济学、货币金融学、投资银行学</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信息管理与信息系统：管理信息系统、信息管理学、信息系统分析与设计</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国际经济与贸易：微观与宏观经济学、国际贸易、国际贸易实务</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机械工程及自动化：概率论与数理统计、机械制造技术基础、数控技术</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土木工程：结构力学、钢结构、混凝土与砌体结构</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计算机科学与技术：C语言程序设计、数据库概论、操作系统</w:t>
      </w:r>
    </w:p>
    <w:p w:rsidR="00210BE8" w:rsidRDefault="00BD7929">
      <w:pPr>
        <w:numPr>
          <w:ilvl w:val="0"/>
          <w:numId w:val="2"/>
        </w:numPr>
        <w:rPr>
          <w:rFonts w:ascii="仿宋" w:eastAsia="仿宋" w:hAnsi="仿宋" w:cs="仿宋"/>
          <w:sz w:val="28"/>
          <w:szCs w:val="28"/>
        </w:rPr>
      </w:pPr>
      <w:r>
        <w:rPr>
          <w:rFonts w:ascii="仿宋" w:eastAsia="仿宋" w:hAnsi="仿宋" w:cs="仿宋" w:hint="eastAsia"/>
          <w:sz w:val="28"/>
          <w:szCs w:val="28"/>
        </w:rPr>
        <w:t>法学：法理学、合同法、知识产权法</w:t>
      </w:r>
    </w:p>
    <w:p w:rsidR="00210BE8" w:rsidRDefault="00D70F34" w:rsidP="00D70F34">
      <w:pPr>
        <w:rPr>
          <w:rFonts w:ascii="仿宋" w:eastAsia="仿宋" w:hAnsi="仿宋" w:cs="仿宋"/>
          <w:sz w:val="28"/>
          <w:szCs w:val="28"/>
        </w:rPr>
      </w:pPr>
      <w:r>
        <w:rPr>
          <w:rFonts w:ascii="仿宋" w:eastAsia="仿宋" w:hAnsi="仿宋" w:cs="仿宋" w:hint="eastAsia"/>
          <w:sz w:val="28"/>
          <w:szCs w:val="28"/>
        </w:rPr>
        <w:t>10.</w:t>
      </w:r>
      <w:r w:rsidR="00BD7929">
        <w:rPr>
          <w:rFonts w:ascii="仿宋" w:eastAsia="仿宋" w:hAnsi="仿宋" w:cs="仿宋" w:hint="eastAsia"/>
          <w:sz w:val="28"/>
          <w:szCs w:val="28"/>
        </w:rPr>
        <w:t xml:space="preserve"> 教育学：教育学原理、教育管理学、比较教育学</w:t>
      </w:r>
    </w:p>
    <w:p w:rsidR="00210BE8" w:rsidRDefault="00D70F34" w:rsidP="00D70F34">
      <w:pPr>
        <w:rPr>
          <w:rFonts w:ascii="仿宋" w:eastAsia="仿宋" w:hAnsi="仿宋" w:cs="仿宋"/>
          <w:sz w:val="28"/>
          <w:szCs w:val="28"/>
        </w:rPr>
      </w:pPr>
      <w:r>
        <w:rPr>
          <w:rFonts w:ascii="仿宋" w:eastAsia="仿宋" w:hAnsi="仿宋" w:cs="仿宋" w:hint="eastAsia"/>
          <w:sz w:val="28"/>
          <w:szCs w:val="28"/>
        </w:rPr>
        <w:t>11.</w:t>
      </w:r>
      <w:r w:rsidR="00BD7929">
        <w:rPr>
          <w:rFonts w:ascii="仿宋" w:eastAsia="仿宋" w:hAnsi="仿宋" w:cs="仿宋" w:hint="eastAsia"/>
          <w:sz w:val="28"/>
          <w:szCs w:val="28"/>
        </w:rPr>
        <w:t xml:space="preserve"> 汉语言文学：语言学概论、现代汉语专题、中国古代文学专题</w:t>
      </w:r>
    </w:p>
    <w:p w:rsidR="00210BE8" w:rsidRDefault="00D70F34" w:rsidP="00D70F34">
      <w:pPr>
        <w:rPr>
          <w:rFonts w:ascii="仿宋" w:eastAsia="仿宋" w:hAnsi="仿宋" w:cs="仿宋"/>
          <w:sz w:val="28"/>
          <w:szCs w:val="28"/>
        </w:rPr>
      </w:pPr>
      <w:r>
        <w:rPr>
          <w:rFonts w:ascii="仿宋" w:eastAsia="仿宋" w:hAnsi="仿宋" w:cs="仿宋" w:hint="eastAsia"/>
          <w:sz w:val="28"/>
          <w:szCs w:val="28"/>
        </w:rPr>
        <w:t>12.</w:t>
      </w:r>
      <w:r w:rsidR="00BD7929">
        <w:rPr>
          <w:rFonts w:ascii="仿宋" w:eastAsia="仿宋" w:hAnsi="仿宋" w:cs="仿宋" w:hint="eastAsia"/>
          <w:sz w:val="28"/>
          <w:szCs w:val="28"/>
        </w:rPr>
        <w:t>英语：高级英语、英语语言学基础、英国文学史及选读</w:t>
      </w:r>
    </w:p>
    <w:p w:rsidR="00210BE8" w:rsidRDefault="00D70F34" w:rsidP="00D70F34">
      <w:pPr>
        <w:rPr>
          <w:rFonts w:ascii="仿宋" w:eastAsia="仿宋" w:hAnsi="仿宋" w:cs="仿宋"/>
          <w:sz w:val="28"/>
          <w:szCs w:val="28"/>
        </w:rPr>
      </w:pPr>
      <w:r>
        <w:rPr>
          <w:rFonts w:ascii="仿宋" w:eastAsia="仿宋" w:hAnsi="仿宋" w:cs="仿宋" w:hint="eastAsia"/>
          <w:sz w:val="28"/>
          <w:szCs w:val="28"/>
        </w:rPr>
        <w:t>13.</w:t>
      </w:r>
      <w:r w:rsidR="00BD7929">
        <w:rPr>
          <w:rFonts w:ascii="仿宋" w:eastAsia="仿宋" w:hAnsi="仿宋" w:cs="仿宋" w:hint="eastAsia"/>
          <w:sz w:val="28"/>
          <w:szCs w:val="28"/>
        </w:rPr>
        <w:t>电气工程及自动化：自动控制原理、电力拖动控制系统、工厂供电</w:t>
      </w:r>
    </w:p>
    <w:p w:rsidR="00210BE8" w:rsidRDefault="00D70F34" w:rsidP="00D70F34">
      <w:pPr>
        <w:rPr>
          <w:rFonts w:ascii="仿宋" w:eastAsia="仿宋" w:hAnsi="仿宋" w:cs="仿宋"/>
          <w:sz w:val="28"/>
          <w:szCs w:val="28"/>
        </w:rPr>
      </w:pPr>
      <w:r>
        <w:rPr>
          <w:rFonts w:ascii="仿宋" w:eastAsia="仿宋" w:hAnsi="仿宋" w:cs="仿宋" w:hint="eastAsia"/>
          <w:sz w:val="28"/>
          <w:szCs w:val="28"/>
        </w:rPr>
        <w:t>14.</w:t>
      </w:r>
      <w:r w:rsidR="00BD7929">
        <w:rPr>
          <w:rFonts w:ascii="仿宋" w:eastAsia="仿宋" w:hAnsi="仿宋" w:cs="仿宋" w:hint="eastAsia"/>
          <w:sz w:val="28"/>
          <w:szCs w:val="28"/>
        </w:rPr>
        <w:t>无机非金属材料工程：概率论与数理统计、无机材料物理化学、无机材料工艺学</w:t>
      </w:r>
    </w:p>
    <w:p w:rsidR="00210BE8" w:rsidRDefault="00BD7929">
      <w:pPr>
        <w:ind w:left="360"/>
        <w:rPr>
          <w:rFonts w:ascii="仿宋" w:eastAsia="仿宋" w:hAnsi="仿宋" w:cs="仿宋"/>
          <w:sz w:val="28"/>
          <w:szCs w:val="28"/>
        </w:rPr>
      </w:pPr>
      <w:r>
        <w:rPr>
          <w:rFonts w:ascii="仿宋" w:eastAsia="仿宋" w:hAnsi="仿宋" w:cs="仿宋" w:hint="eastAsia"/>
          <w:sz w:val="28"/>
          <w:szCs w:val="28"/>
        </w:rPr>
        <w:t>仅供参考，个别课程以所开相近课程为版本</w:t>
      </w:r>
    </w:p>
    <w:p w:rsidR="00210BE8" w:rsidRDefault="00210BE8">
      <w:pPr>
        <w:widowControl/>
        <w:jc w:val="left"/>
        <w:rPr>
          <w:rFonts w:ascii="仿宋" w:eastAsia="仿宋" w:hAnsi="仿宋" w:cs="仿宋"/>
          <w:b/>
          <w:bCs/>
          <w:sz w:val="32"/>
          <w:szCs w:val="32"/>
        </w:rPr>
        <w:sectPr w:rsidR="00210BE8" w:rsidSect="006048BA">
          <w:pgSz w:w="11906" w:h="16838"/>
          <w:pgMar w:top="1440" w:right="1134" w:bottom="1474" w:left="1134" w:header="851" w:footer="992" w:gutter="0"/>
          <w:cols w:space="720"/>
          <w:docGrid w:type="lines" w:linePitch="312"/>
        </w:sectPr>
      </w:pPr>
    </w:p>
    <w:p w:rsidR="00210BE8" w:rsidRDefault="00BD7929" w:rsidP="00C35B65">
      <w:pPr>
        <w:widowControl/>
        <w:ind w:leftChars="304" w:left="1923" w:hangingChars="400" w:hanging="1285"/>
        <w:jc w:val="left"/>
        <w:rPr>
          <w:rFonts w:ascii="仿宋" w:eastAsia="仿宋" w:hAnsi="仿宋" w:cs="仿宋"/>
          <w:kern w:val="0"/>
          <w:sz w:val="32"/>
          <w:szCs w:val="32"/>
        </w:rPr>
      </w:pPr>
      <w:r>
        <w:rPr>
          <w:rFonts w:ascii="仿宋" w:eastAsia="仿宋" w:hAnsi="仿宋" w:cs="仿宋" w:hint="eastAsia"/>
          <w:b/>
          <w:bCs/>
          <w:sz w:val="32"/>
          <w:szCs w:val="32"/>
        </w:rPr>
        <w:lastRenderedPageBreak/>
        <w:t>附件2：</w:t>
      </w:r>
      <w:r>
        <w:rPr>
          <w:rFonts w:ascii="仿宋" w:eastAsia="仿宋" w:hAnsi="仿宋" w:cs="仿宋" w:hint="eastAsia"/>
          <w:kern w:val="0"/>
          <w:sz w:val="32"/>
          <w:szCs w:val="32"/>
        </w:rPr>
        <w:t>济南大学成人高等教育学士学位主干课程考试报名汇总表</w:t>
      </w:r>
    </w:p>
    <w:tbl>
      <w:tblPr>
        <w:tblW w:w="0" w:type="auto"/>
        <w:tblInd w:w="93" w:type="dxa"/>
        <w:tblLayout w:type="fixed"/>
        <w:tblLook w:val="0000"/>
      </w:tblPr>
      <w:tblGrid>
        <w:gridCol w:w="700"/>
        <w:gridCol w:w="1655"/>
        <w:gridCol w:w="720"/>
        <w:gridCol w:w="720"/>
        <w:gridCol w:w="1525"/>
        <w:gridCol w:w="1200"/>
        <w:gridCol w:w="1300"/>
        <w:gridCol w:w="1600"/>
        <w:gridCol w:w="940"/>
        <w:gridCol w:w="815"/>
        <w:gridCol w:w="889"/>
        <w:gridCol w:w="709"/>
        <w:gridCol w:w="1134"/>
      </w:tblGrid>
      <w:tr w:rsidR="007D2401" w:rsidTr="007D2401">
        <w:trPr>
          <w:trHeight w:val="765"/>
        </w:trPr>
        <w:tc>
          <w:tcPr>
            <w:tcW w:w="700" w:type="dxa"/>
            <w:tcBorders>
              <w:top w:val="single" w:sz="4" w:space="0" w:color="auto"/>
              <w:left w:val="single" w:sz="4" w:space="0" w:color="auto"/>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序号</w:t>
            </w:r>
          </w:p>
        </w:tc>
        <w:tc>
          <w:tcPr>
            <w:tcW w:w="1655"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函授站名称</w:t>
            </w:r>
          </w:p>
        </w:tc>
        <w:tc>
          <w:tcPr>
            <w:tcW w:w="720"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姓名</w:t>
            </w:r>
          </w:p>
        </w:tc>
        <w:tc>
          <w:tcPr>
            <w:tcW w:w="720"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年级</w:t>
            </w:r>
          </w:p>
        </w:tc>
        <w:tc>
          <w:tcPr>
            <w:tcW w:w="1525"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专业</w:t>
            </w:r>
          </w:p>
        </w:tc>
        <w:tc>
          <w:tcPr>
            <w:tcW w:w="1200"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入学时间</w:t>
            </w:r>
          </w:p>
        </w:tc>
        <w:tc>
          <w:tcPr>
            <w:tcW w:w="1300"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毕业时间</w:t>
            </w:r>
          </w:p>
        </w:tc>
        <w:tc>
          <w:tcPr>
            <w:tcW w:w="1600"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身份证号</w:t>
            </w:r>
          </w:p>
        </w:tc>
        <w:tc>
          <w:tcPr>
            <w:tcW w:w="940"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各科平均成绩</w:t>
            </w:r>
          </w:p>
        </w:tc>
        <w:tc>
          <w:tcPr>
            <w:tcW w:w="815"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论文成绩</w:t>
            </w:r>
          </w:p>
        </w:tc>
        <w:tc>
          <w:tcPr>
            <w:tcW w:w="889"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有无作弊记录</w:t>
            </w:r>
          </w:p>
        </w:tc>
        <w:tc>
          <w:tcPr>
            <w:tcW w:w="709" w:type="dxa"/>
            <w:tcBorders>
              <w:top w:val="single" w:sz="4" w:space="0" w:color="auto"/>
              <w:left w:val="nil"/>
              <w:bottom w:val="single" w:sz="4" w:space="0" w:color="auto"/>
              <w:right w:val="single" w:sz="4" w:space="0" w:color="auto"/>
            </w:tcBorders>
            <w:vAlign w:val="center"/>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有无补考科目</w:t>
            </w:r>
          </w:p>
        </w:tc>
        <w:tc>
          <w:tcPr>
            <w:tcW w:w="1134" w:type="dxa"/>
            <w:tcBorders>
              <w:top w:val="single" w:sz="4" w:space="0" w:color="auto"/>
              <w:left w:val="nil"/>
              <w:bottom w:val="single" w:sz="4" w:space="0" w:color="auto"/>
              <w:right w:val="single" w:sz="4" w:space="0" w:color="auto"/>
            </w:tcBorders>
          </w:tcPr>
          <w:p w:rsidR="007D2401" w:rsidRDefault="007D2401">
            <w:pPr>
              <w:widowControl/>
              <w:jc w:val="center"/>
              <w:rPr>
                <w:rFonts w:ascii="仿宋" w:eastAsia="仿宋" w:hAnsi="仿宋" w:cs="宋体"/>
                <w:kern w:val="0"/>
                <w:sz w:val="24"/>
              </w:rPr>
            </w:pPr>
            <w:r>
              <w:rPr>
                <w:rFonts w:ascii="仿宋" w:eastAsia="仿宋" w:hAnsi="仿宋" w:cs="宋体" w:hint="eastAsia"/>
                <w:kern w:val="0"/>
                <w:sz w:val="24"/>
              </w:rPr>
              <w:t>通过外语考试时间</w:t>
            </w: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r w:rsidR="007D2401" w:rsidTr="007D2401">
        <w:trPr>
          <w:trHeight w:val="285"/>
        </w:trPr>
        <w:tc>
          <w:tcPr>
            <w:tcW w:w="700" w:type="dxa"/>
            <w:tcBorders>
              <w:top w:val="nil"/>
              <w:left w:val="single" w:sz="4" w:space="0" w:color="auto"/>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5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2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3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60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8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7D2401" w:rsidRDefault="007D2401">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134" w:type="dxa"/>
            <w:tcBorders>
              <w:top w:val="nil"/>
              <w:left w:val="nil"/>
              <w:bottom w:val="single" w:sz="4" w:space="0" w:color="auto"/>
              <w:right w:val="single" w:sz="4" w:space="0" w:color="auto"/>
            </w:tcBorders>
          </w:tcPr>
          <w:p w:rsidR="007D2401" w:rsidRDefault="007D2401">
            <w:pPr>
              <w:widowControl/>
              <w:jc w:val="left"/>
              <w:rPr>
                <w:rFonts w:ascii="仿宋" w:eastAsia="仿宋" w:hAnsi="仿宋" w:cs="宋体"/>
                <w:kern w:val="0"/>
                <w:sz w:val="24"/>
              </w:rPr>
            </w:pPr>
          </w:p>
        </w:tc>
      </w:tr>
    </w:tbl>
    <w:p w:rsidR="00210BE8" w:rsidRDefault="00BD7929">
      <w:pPr>
        <w:widowControl/>
        <w:jc w:val="left"/>
        <w:rPr>
          <w:rFonts w:ascii="仿宋" w:eastAsia="仿宋" w:hAnsi="仿宋" w:cs="宋体"/>
          <w:b/>
          <w:kern w:val="0"/>
          <w:sz w:val="24"/>
        </w:rPr>
      </w:pPr>
      <w:r>
        <w:rPr>
          <w:rFonts w:ascii="仿宋" w:eastAsia="仿宋" w:hAnsi="仿宋" w:cs="宋体" w:hint="eastAsia"/>
          <w:kern w:val="0"/>
          <w:sz w:val="24"/>
        </w:rPr>
        <w:t>填写说明：</w:t>
      </w:r>
      <w:r>
        <w:rPr>
          <w:rFonts w:ascii="仿宋" w:eastAsia="仿宋" w:hAnsi="仿宋" w:cs="宋体" w:hint="eastAsia"/>
          <w:b/>
          <w:kern w:val="0"/>
          <w:sz w:val="24"/>
        </w:rPr>
        <w:t>1.专业名称填写附件1中规范名称；2.论文成绩为“优”或“良”；3.不得更改表格格式。4.字体大小为仿宋4四号</w:t>
      </w:r>
    </w:p>
    <w:p w:rsidR="00210BE8" w:rsidRDefault="00BD7929">
      <w:pPr>
        <w:widowControl/>
        <w:jc w:val="left"/>
        <w:rPr>
          <w:rFonts w:ascii="仿宋" w:eastAsia="仿宋" w:hAnsi="仿宋" w:cs="宋体"/>
          <w:b/>
          <w:kern w:val="0"/>
          <w:sz w:val="24"/>
        </w:rPr>
      </w:pPr>
      <w:r>
        <w:rPr>
          <w:rFonts w:ascii="仿宋" w:eastAsia="仿宋" w:hAnsi="仿宋" w:cs="宋体" w:hint="eastAsia"/>
          <w:b/>
          <w:kern w:val="0"/>
          <w:sz w:val="24"/>
        </w:rPr>
        <w:t>5.不能有缺项。</w:t>
      </w:r>
    </w:p>
    <w:p w:rsidR="00210BE8" w:rsidRDefault="00210BE8">
      <w:pPr>
        <w:rPr>
          <w:rFonts w:ascii="仿宋" w:eastAsia="仿宋" w:hAnsi="仿宋" w:cs="仿宋"/>
          <w:b/>
          <w:bCs/>
          <w:sz w:val="32"/>
          <w:szCs w:val="32"/>
        </w:rPr>
      </w:pPr>
    </w:p>
    <w:p w:rsidR="006F57F3" w:rsidRDefault="006F57F3" w:rsidP="006F57F3">
      <w:pPr>
        <w:rPr>
          <w:rFonts w:ascii="仿宋" w:eastAsia="仿宋" w:hAnsi="仿宋"/>
          <w:sz w:val="32"/>
          <w:szCs w:val="32"/>
        </w:rPr>
        <w:sectPr w:rsidR="006F57F3" w:rsidSect="006F57F3">
          <w:pgSz w:w="16838" w:h="11906" w:orient="landscape"/>
          <w:pgMar w:top="1134" w:right="1440" w:bottom="1134" w:left="1474" w:header="851" w:footer="992" w:gutter="0"/>
          <w:cols w:space="720"/>
          <w:docGrid w:type="lines" w:linePitch="315"/>
        </w:sectPr>
      </w:pPr>
    </w:p>
    <w:p w:rsidR="006F57F3" w:rsidRDefault="006F57F3" w:rsidP="006F57F3">
      <w:pPr>
        <w:rPr>
          <w:rFonts w:ascii="仿宋" w:eastAsia="仿宋" w:hAnsi="仿宋"/>
          <w:sz w:val="32"/>
          <w:szCs w:val="32"/>
        </w:rPr>
      </w:pPr>
      <w:r>
        <w:rPr>
          <w:rFonts w:ascii="仿宋" w:eastAsia="仿宋" w:hAnsi="仿宋" w:hint="eastAsia"/>
          <w:sz w:val="32"/>
          <w:szCs w:val="32"/>
        </w:rPr>
        <w:lastRenderedPageBreak/>
        <w:t>附件3</w:t>
      </w:r>
    </w:p>
    <w:p w:rsidR="006F57F3" w:rsidRDefault="006F57F3" w:rsidP="006F57F3">
      <w:pPr>
        <w:jc w:val="center"/>
        <w:rPr>
          <w:rFonts w:ascii="仿宋" w:eastAsia="仿宋" w:hAnsi="仿宋"/>
          <w:sz w:val="32"/>
          <w:szCs w:val="32"/>
        </w:rPr>
      </w:pPr>
      <w:r>
        <w:rPr>
          <w:rFonts w:ascii="仿宋" w:eastAsia="仿宋" w:hAnsi="仿宋" w:hint="eastAsia"/>
          <w:sz w:val="32"/>
          <w:szCs w:val="32"/>
        </w:rPr>
        <w:t>函授站所在市代码</w:t>
      </w:r>
    </w:p>
    <w:p w:rsidR="006F57F3" w:rsidRDefault="006F57F3" w:rsidP="006F57F3">
      <w:pPr>
        <w:jc w:val="left"/>
        <w:rPr>
          <w:rFonts w:ascii="仿宋" w:eastAsia="仿宋" w:hAnsi="仿宋"/>
          <w:sz w:val="32"/>
          <w:szCs w:val="32"/>
        </w:rPr>
      </w:pPr>
      <w:r>
        <w:rPr>
          <w:rFonts w:ascii="仿宋" w:eastAsia="仿宋" w:hAnsi="仿宋" w:hint="eastAsia"/>
          <w:sz w:val="32"/>
          <w:szCs w:val="32"/>
        </w:rPr>
        <w:t xml:space="preserve">    代码 所在市</w:t>
      </w:r>
    </w:p>
    <w:p w:rsidR="006F57F3" w:rsidRPr="00BF6479" w:rsidRDefault="006F57F3" w:rsidP="006F57F3">
      <w:pPr>
        <w:pStyle w:val="a6"/>
        <w:numPr>
          <w:ilvl w:val="0"/>
          <w:numId w:val="4"/>
        </w:numPr>
        <w:ind w:firstLineChars="0"/>
        <w:jc w:val="left"/>
        <w:rPr>
          <w:rFonts w:ascii="仿宋" w:eastAsia="仿宋" w:hAnsi="仿宋"/>
          <w:sz w:val="32"/>
          <w:szCs w:val="32"/>
        </w:rPr>
      </w:pPr>
      <w:r w:rsidRPr="00BF6479">
        <w:rPr>
          <w:rFonts w:ascii="仿宋" w:eastAsia="仿宋" w:hAnsi="仿宋" w:hint="eastAsia"/>
          <w:sz w:val="32"/>
          <w:szCs w:val="32"/>
        </w:rPr>
        <w:t>济南</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青岛</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淄博</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枣庄</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东营</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烟台</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潍坊</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济宁</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泰安</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威海</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日照</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莱芜</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临沂</w:t>
      </w:r>
    </w:p>
    <w:p w:rsidR="006F57F3" w:rsidRDefault="006F57F3" w:rsidP="006F57F3">
      <w:pPr>
        <w:pStyle w:val="a6"/>
        <w:numPr>
          <w:ilvl w:val="0"/>
          <w:numId w:val="4"/>
        </w:numPr>
        <w:ind w:firstLineChars="0"/>
        <w:jc w:val="left"/>
        <w:rPr>
          <w:rFonts w:ascii="仿宋" w:eastAsia="仿宋" w:hAnsi="仿宋"/>
          <w:sz w:val="32"/>
          <w:szCs w:val="32"/>
        </w:rPr>
      </w:pPr>
      <w:r>
        <w:rPr>
          <w:rFonts w:ascii="仿宋" w:eastAsia="仿宋" w:hAnsi="仿宋" w:hint="eastAsia"/>
          <w:sz w:val="32"/>
          <w:szCs w:val="32"/>
        </w:rPr>
        <w:t>德州</w:t>
      </w:r>
    </w:p>
    <w:p w:rsidR="006F57F3" w:rsidRDefault="006F57F3" w:rsidP="006F57F3">
      <w:pPr>
        <w:ind w:left="630"/>
        <w:jc w:val="left"/>
        <w:rPr>
          <w:rFonts w:ascii="仿宋" w:eastAsia="仿宋" w:hAnsi="仿宋"/>
          <w:sz w:val="32"/>
          <w:szCs w:val="32"/>
        </w:rPr>
      </w:pPr>
      <w:r>
        <w:rPr>
          <w:rFonts w:ascii="仿宋" w:eastAsia="仿宋" w:hAnsi="仿宋" w:hint="eastAsia"/>
          <w:sz w:val="32"/>
          <w:szCs w:val="32"/>
        </w:rPr>
        <w:t>23  滨州</w:t>
      </w:r>
    </w:p>
    <w:p w:rsidR="006F57F3" w:rsidRDefault="006F57F3" w:rsidP="006F57F3">
      <w:pPr>
        <w:ind w:left="630"/>
        <w:jc w:val="left"/>
        <w:rPr>
          <w:rFonts w:ascii="仿宋" w:eastAsia="仿宋" w:hAnsi="仿宋"/>
          <w:sz w:val="32"/>
          <w:szCs w:val="32"/>
        </w:rPr>
      </w:pPr>
      <w:r>
        <w:rPr>
          <w:rFonts w:ascii="仿宋" w:eastAsia="仿宋" w:hAnsi="仿宋" w:hint="eastAsia"/>
          <w:sz w:val="32"/>
          <w:szCs w:val="32"/>
        </w:rPr>
        <w:t>25  聊城</w:t>
      </w:r>
    </w:p>
    <w:p w:rsidR="006F57F3" w:rsidRPr="00550713" w:rsidRDefault="006F57F3" w:rsidP="00550713">
      <w:pPr>
        <w:ind w:left="630"/>
        <w:jc w:val="left"/>
        <w:rPr>
          <w:rFonts w:ascii="仿宋" w:eastAsia="仿宋" w:hAnsi="仿宋"/>
          <w:sz w:val="32"/>
          <w:szCs w:val="32"/>
        </w:rPr>
        <w:sectPr w:rsidR="006F57F3" w:rsidRPr="00550713" w:rsidSect="006F57F3">
          <w:pgSz w:w="11906" w:h="16838"/>
          <w:pgMar w:top="1440" w:right="1134" w:bottom="1474" w:left="1134" w:header="851" w:footer="992" w:gutter="0"/>
          <w:cols w:space="720"/>
          <w:docGrid w:linePitch="315"/>
        </w:sectPr>
      </w:pPr>
      <w:r>
        <w:rPr>
          <w:rFonts w:ascii="仿宋" w:eastAsia="仿宋" w:hAnsi="仿宋" w:hint="eastAsia"/>
          <w:sz w:val="32"/>
          <w:szCs w:val="32"/>
        </w:rPr>
        <w:t>29  菏泽</w:t>
      </w:r>
    </w:p>
    <w:p w:rsidR="00BD7929" w:rsidRDefault="00BD7929" w:rsidP="003C7226">
      <w:pPr>
        <w:rPr>
          <w:rFonts w:ascii="仿宋" w:eastAsia="仿宋" w:hAnsi="仿宋" w:cs="仿宋"/>
        </w:rPr>
      </w:pPr>
    </w:p>
    <w:sectPr w:rsidR="00BD7929" w:rsidSect="006F57F3">
      <w:pgSz w:w="11906" w:h="16838"/>
      <w:pgMar w:top="1440" w:right="1134" w:bottom="1474" w:left="1134" w:header="851" w:footer="992" w:gutter="0"/>
      <w:cols w:space="720"/>
      <w:docGrid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E70" w:rsidRDefault="00F35E70" w:rsidP="00C35B65">
      <w:r>
        <w:separator/>
      </w:r>
    </w:p>
  </w:endnote>
  <w:endnote w:type="continuationSeparator" w:id="1">
    <w:p w:rsidR="00F35E70" w:rsidRDefault="00F35E70" w:rsidP="00C35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E70" w:rsidRDefault="00F35E70" w:rsidP="00C35B65">
      <w:r>
        <w:separator/>
      </w:r>
    </w:p>
  </w:footnote>
  <w:footnote w:type="continuationSeparator" w:id="1">
    <w:p w:rsidR="00F35E70" w:rsidRDefault="00F35E70" w:rsidP="00C35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3CA"/>
    <w:multiLevelType w:val="multilevel"/>
    <w:tmpl w:val="032723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D1610B6"/>
    <w:multiLevelType w:val="hybridMultilevel"/>
    <w:tmpl w:val="80C0B3D2"/>
    <w:lvl w:ilvl="0" w:tplc="F4A4F8B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DD115D9"/>
    <w:multiLevelType w:val="hybridMultilevel"/>
    <w:tmpl w:val="75A01826"/>
    <w:lvl w:ilvl="0" w:tplc="5E183444">
      <w:start w:val="1"/>
      <w:numFmt w:val="decimalZero"/>
      <w:lvlText w:val="%1"/>
      <w:lvlJc w:val="left"/>
      <w:pPr>
        <w:ind w:left="1275" w:hanging="64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80DAC9E"/>
    <w:multiLevelType w:val="singleLevel"/>
    <w:tmpl w:val="580DAC9E"/>
    <w:lvl w:ilvl="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315"/>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505"/>
    <w:rsid w:val="00072152"/>
    <w:rsid w:val="001162DF"/>
    <w:rsid w:val="00210BE8"/>
    <w:rsid w:val="002669BC"/>
    <w:rsid w:val="002D1D89"/>
    <w:rsid w:val="003C7226"/>
    <w:rsid w:val="004414B5"/>
    <w:rsid w:val="0050459A"/>
    <w:rsid w:val="00550713"/>
    <w:rsid w:val="00551019"/>
    <w:rsid w:val="006048BA"/>
    <w:rsid w:val="00665494"/>
    <w:rsid w:val="006F57F3"/>
    <w:rsid w:val="007D2401"/>
    <w:rsid w:val="0097094A"/>
    <w:rsid w:val="009E6C77"/>
    <w:rsid w:val="00A1221A"/>
    <w:rsid w:val="00A40D53"/>
    <w:rsid w:val="00A83FBF"/>
    <w:rsid w:val="00AB5CF8"/>
    <w:rsid w:val="00AE0CD0"/>
    <w:rsid w:val="00B135D4"/>
    <w:rsid w:val="00B90970"/>
    <w:rsid w:val="00B92C5B"/>
    <w:rsid w:val="00B94627"/>
    <w:rsid w:val="00BD7929"/>
    <w:rsid w:val="00C35B65"/>
    <w:rsid w:val="00C546B1"/>
    <w:rsid w:val="00D30545"/>
    <w:rsid w:val="00D41193"/>
    <w:rsid w:val="00D462A7"/>
    <w:rsid w:val="00D70F34"/>
    <w:rsid w:val="00DA12B6"/>
    <w:rsid w:val="00E36EAB"/>
    <w:rsid w:val="00E54505"/>
    <w:rsid w:val="00F02109"/>
    <w:rsid w:val="00F35E70"/>
    <w:rsid w:val="47CE102B"/>
    <w:rsid w:val="503C7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B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0BE8"/>
    <w:rPr>
      <w:color w:val="0000FF"/>
      <w:u w:val="single"/>
    </w:rPr>
  </w:style>
  <w:style w:type="paragraph" w:styleId="a4">
    <w:name w:val="header"/>
    <w:basedOn w:val="a"/>
    <w:link w:val="Char"/>
    <w:rsid w:val="00C35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5B65"/>
    <w:rPr>
      <w:kern w:val="2"/>
      <w:sz w:val="18"/>
      <w:szCs w:val="18"/>
    </w:rPr>
  </w:style>
  <w:style w:type="paragraph" w:styleId="a5">
    <w:name w:val="footer"/>
    <w:basedOn w:val="a"/>
    <w:link w:val="Char0"/>
    <w:rsid w:val="00C35B65"/>
    <w:pPr>
      <w:tabs>
        <w:tab w:val="center" w:pos="4153"/>
        <w:tab w:val="right" w:pos="8306"/>
      </w:tabs>
      <w:snapToGrid w:val="0"/>
      <w:jc w:val="left"/>
    </w:pPr>
    <w:rPr>
      <w:sz w:val="18"/>
      <w:szCs w:val="18"/>
    </w:rPr>
  </w:style>
  <w:style w:type="character" w:customStyle="1" w:styleId="Char0">
    <w:name w:val="页脚 Char"/>
    <w:basedOn w:val="a0"/>
    <w:link w:val="a5"/>
    <w:rsid w:val="00C35B65"/>
    <w:rPr>
      <w:kern w:val="2"/>
      <w:sz w:val="18"/>
      <w:szCs w:val="18"/>
    </w:rPr>
  </w:style>
  <w:style w:type="paragraph" w:styleId="a6">
    <w:name w:val="List Paragraph"/>
    <w:basedOn w:val="a"/>
    <w:uiPriority w:val="34"/>
    <w:qFormat/>
    <w:rsid w:val="00072152"/>
    <w:pPr>
      <w:ind w:firstLineChars="200" w:firstLine="420"/>
    </w:pPr>
  </w:style>
  <w:style w:type="paragraph" w:styleId="a7">
    <w:name w:val="Date"/>
    <w:basedOn w:val="a"/>
    <w:next w:val="a"/>
    <w:link w:val="Char1"/>
    <w:rsid w:val="00550713"/>
    <w:pPr>
      <w:ind w:leftChars="2500" w:left="100"/>
    </w:pPr>
  </w:style>
  <w:style w:type="character" w:customStyle="1" w:styleId="Char1">
    <w:name w:val="日期 Char"/>
    <w:basedOn w:val="a0"/>
    <w:link w:val="a7"/>
    <w:rsid w:val="00550713"/>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e_may@uj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301</Words>
  <Characters>1719</Characters>
  <Application>Microsoft Office Word</Application>
  <DocSecurity>0</DocSecurity>
  <PresentationFormat/>
  <Lines>14</Lines>
  <Paragraphs>4</Paragraphs>
  <Slides>0</Slides>
  <Notes>0</Notes>
  <HiddenSlides>0</HiddenSlides>
  <MMClips>0</MMClips>
  <ScaleCrop>false</ScaleCrop>
  <Company>Sky123.Org</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济南大学继续教育学院</dc:title>
  <dc:creator>lenovo</dc:creator>
  <cp:lastModifiedBy>Microsoft</cp:lastModifiedBy>
  <cp:revision>5</cp:revision>
  <dcterms:created xsi:type="dcterms:W3CDTF">2017-10-31T07:07:00Z</dcterms:created>
  <dcterms:modified xsi:type="dcterms:W3CDTF">2017-11-01T03:03:00Z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